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D8" w:rsidRDefault="00FC636E" w:rsidP="00FC636E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48335" cy="864235"/>
            <wp:effectExtent l="0" t="0" r="0" b="0"/>
            <wp:docPr id="3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65B22" w:rsidRDefault="005040F5" w:rsidP="00665B2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-3724910</wp:posOffset>
                </wp:positionH>
                <wp:positionV relativeFrom="paragraph">
                  <wp:posOffset>3209290</wp:posOffset>
                </wp:positionV>
                <wp:extent cx="6796405" cy="373380"/>
                <wp:effectExtent l="0" t="7937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679640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B4A" w:rsidRDefault="00DD5B4A" w:rsidP="00DD5B4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highlight w:val="darkCyan"/>
                              </w:rPr>
                              <w:t>NOTA  P</w:t>
                            </w:r>
                            <w:r w:rsidRPr="001B2A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highlight w:val="darkCyan"/>
                              </w:rPr>
                              <w:t>ER 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highlight w:val="darkCyan"/>
                              </w:rPr>
                              <w:t xml:space="preserve">  STAMPA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93.3pt;margin-top:252.7pt;width:535.15pt;height:29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" fillcolor="white [3201]" stroked="f" strokeweight=".5pt">
                <v:path arrowok="t"/>
                <v:textbox>
                  <w:txbxContent>
                    <w:p w:rsidR="00DD5B4A" w:rsidRDefault="00DD5B4A" w:rsidP="00DD5B4A"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  <w:highlight w:val="darkCyan"/>
                        </w:rPr>
                        <w:t>NOTA  P</w:t>
                      </w:r>
                      <w:r w:rsidRPr="001B2A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  <w:highlight w:val="darkCyan"/>
                        </w:rPr>
                        <w:t>ER  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  <w:highlight w:val="darkCyan"/>
                        </w:rPr>
                        <w:t xml:space="preserve">  STAMPA</w:t>
                      </w:r>
                    </w:p>
                  </w:txbxContent>
                </v:textbox>
              </v:shape>
            </w:pict>
          </mc:Fallback>
        </mc:AlternateContent>
      </w:r>
      <w:r w:rsidR="00665B22">
        <w:rPr>
          <w:b/>
          <w:bCs/>
          <w:sz w:val="36"/>
          <w:szCs w:val="36"/>
        </w:rPr>
        <w:t>Più di un terzo degli italiani vive in case troppo piccole</w:t>
      </w:r>
    </w:p>
    <w:p w:rsidR="00665B22" w:rsidRDefault="00665B22" w:rsidP="00665B22">
      <w:pPr>
        <w:jc w:val="center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…… ma rispettano responsabilmente il divieto di uscire</w:t>
      </w:r>
    </w:p>
    <w:p w:rsidR="00665B22" w:rsidRDefault="00665B22" w:rsidP="00BB334B">
      <w:pPr>
        <w:spacing w:before="120" w:after="120" w:line="240" w:lineRule="auto"/>
        <w:jc w:val="both"/>
        <w:rPr>
          <w:iCs/>
          <w:sz w:val="24"/>
          <w:szCs w:val="28"/>
        </w:rPr>
      </w:pPr>
      <w:r w:rsidRPr="004173DE">
        <w:rPr>
          <w:iCs/>
          <w:sz w:val="24"/>
          <w:szCs w:val="28"/>
        </w:rPr>
        <w:t>Città deserte,</w:t>
      </w:r>
      <w:r>
        <w:rPr>
          <w:iCs/>
          <w:sz w:val="24"/>
          <w:szCs w:val="28"/>
        </w:rPr>
        <w:t xml:space="preserve"> </w:t>
      </w:r>
      <w:r w:rsidRPr="004173DE">
        <w:rPr>
          <w:iCs/>
          <w:sz w:val="24"/>
          <w:szCs w:val="28"/>
        </w:rPr>
        <w:t>quartieri desolati,</w:t>
      </w:r>
      <w:r>
        <w:rPr>
          <w:iCs/>
          <w:sz w:val="24"/>
          <w:szCs w:val="28"/>
        </w:rPr>
        <w:t xml:space="preserve"> </w:t>
      </w:r>
      <w:r w:rsidRPr="004173DE">
        <w:rPr>
          <w:iCs/>
          <w:sz w:val="24"/>
          <w:szCs w:val="28"/>
        </w:rPr>
        <w:t>traffico scarso.</w:t>
      </w:r>
      <w:r>
        <w:rPr>
          <w:iCs/>
          <w:sz w:val="24"/>
          <w:szCs w:val="28"/>
        </w:rPr>
        <w:t xml:space="preserve"> </w:t>
      </w:r>
      <w:r w:rsidRPr="004173DE">
        <w:rPr>
          <w:iCs/>
          <w:sz w:val="24"/>
          <w:szCs w:val="28"/>
        </w:rPr>
        <w:t>E’ la prova che gli italiani</w:t>
      </w:r>
      <w:r>
        <w:rPr>
          <w:iCs/>
          <w:sz w:val="24"/>
          <w:szCs w:val="28"/>
        </w:rPr>
        <w:t xml:space="preserve">, in grande maggioranza, sono coscienti che, per arginare l’epidemia, sia necessario rimanere il più possibile in casa. Col lavoro a distanza, la scuola on line, media, giochi e libri, ci si organizza per </w:t>
      </w:r>
      <w:r w:rsidRPr="002B50AC">
        <w:rPr>
          <w:b/>
          <w:iCs/>
          <w:sz w:val="24"/>
          <w:szCs w:val="28"/>
        </w:rPr>
        <w:t>sostituire alla vita sociale</w:t>
      </w:r>
      <w:r>
        <w:rPr>
          <w:iCs/>
          <w:sz w:val="24"/>
          <w:szCs w:val="28"/>
        </w:rPr>
        <w:t xml:space="preserve"> quella esclusivamente </w:t>
      </w:r>
      <w:r w:rsidRPr="002B50AC">
        <w:rPr>
          <w:b/>
          <w:iCs/>
          <w:sz w:val="24"/>
          <w:szCs w:val="28"/>
        </w:rPr>
        <w:t>familiare</w:t>
      </w:r>
      <w:r>
        <w:rPr>
          <w:iCs/>
          <w:sz w:val="24"/>
          <w:szCs w:val="28"/>
        </w:rPr>
        <w:t>. Trascorrere tutta la giornata in casa, inevitabilmente riporta nelle pareti domestiche tante funzioni che prima venivano svolte fuori. E in taluni casi questo sovraccarico atterra in uno spazio insufficiente. Teniamo conto che , già prima dell’era Covid, la principale spinta a cercare un nuovo alloggio era proprio quella di vivere in una casa troppo piccola.</w:t>
      </w:r>
    </w:p>
    <w:p w:rsidR="00665B22" w:rsidRDefault="00665B22" w:rsidP="00BB334B">
      <w:pPr>
        <w:spacing w:before="120" w:after="120" w:line="240" w:lineRule="auto"/>
        <w:jc w:val="both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Secondo una comparazione internazionale le </w:t>
      </w:r>
      <w:r w:rsidRPr="002B50AC">
        <w:rPr>
          <w:b/>
          <w:iCs/>
          <w:sz w:val="24"/>
          <w:szCs w:val="28"/>
        </w:rPr>
        <w:t>case abitate dagli italiani hanno una dimensione media di 81 mq.</w:t>
      </w:r>
      <w:r>
        <w:rPr>
          <w:iCs/>
          <w:sz w:val="24"/>
          <w:szCs w:val="28"/>
        </w:rPr>
        <w:t xml:space="preserve"> meno di quelle giapponesi (95mq.), spagnole (97 mq.) tedesche (109 mq.) e francesi (112 mq.). Sono valori medi (per l’Italia coincidono con le dimensioni catastali della fascia intermedia degli alloggi), ma che hanno grande variabilità a seconda della loro localizzazione territoriale, in particolare fra grandi città e piccoli paesi. Ad esempio, a Parigi, il mercato immobiliare offre, anche a caro prezzo, piccole </w:t>
      </w:r>
      <w:r w:rsidRPr="00E50E48">
        <w:rPr>
          <w:i/>
          <w:iCs/>
          <w:sz w:val="24"/>
          <w:szCs w:val="28"/>
        </w:rPr>
        <w:t>maisonette</w:t>
      </w:r>
      <w:r>
        <w:rPr>
          <w:iCs/>
          <w:sz w:val="24"/>
          <w:szCs w:val="28"/>
        </w:rPr>
        <w:t xml:space="preserve"> di soli 15 -20 mq. e non è una rarità, mentre nella provincia francese le abitazioni sono decisamente grandi.</w:t>
      </w:r>
    </w:p>
    <w:p w:rsidR="00665B22" w:rsidRPr="00BB334B" w:rsidRDefault="00665B22" w:rsidP="00BB334B">
      <w:pPr>
        <w:spacing w:before="120" w:after="120" w:line="240" w:lineRule="auto"/>
        <w:jc w:val="both"/>
        <w:rPr>
          <w:iCs/>
          <w:sz w:val="24"/>
          <w:szCs w:val="28"/>
        </w:rPr>
      </w:pPr>
      <w:r w:rsidRPr="002B50AC">
        <w:rPr>
          <w:b/>
          <w:iCs/>
          <w:sz w:val="24"/>
          <w:szCs w:val="28"/>
        </w:rPr>
        <w:t>Gli italiani vivono per metà in immobili multipiano</w:t>
      </w:r>
      <w:r>
        <w:rPr>
          <w:iCs/>
          <w:sz w:val="24"/>
          <w:szCs w:val="28"/>
        </w:rPr>
        <w:t>, il 25,5% in condomini con più di 10 abitazioni e un ulteriore 27,1% in edifici più piccoli. In questo periodo di chiusura, il condominio, classico campo di battaglia della micro-conflittualità sociale, sta divenendo sempre più una cellula di vicinanza e solidarietà. Abbastanza simile all’Italia è la situazione della Germania, mentre nella Francia prevalgono tipologie abitative a minore densità, come case a schiera e unifamiliari, al contrario nella Spagna della grande bolla immobiliare ben il 44,8% delle famiglie vive in grandi condomini (tab.</w:t>
      </w:r>
      <w:r w:rsidR="00BB334B">
        <w:rPr>
          <w:iCs/>
          <w:sz w:val="24"/>
          <w:szCs w:val="28"/>
        </w:rPr>
        <w:t xml:space="preserve"> </w:t>
      </w:r>
      <w:r>
        <w:rPr>
          <w:iCs/>
          <w:sz w:val="24"/>
          <w:szCs w:val="28"/>
        </w:rPr>
        <w:t>1)</w:t>
      </w:r>
      <w:r w:rsidR="00BB334B">
        <w:rPr>
          <w:iCs/>
          <w:sz w:val="24"/>
          <w:szCs w:val="28"/>
        </w:rPr>
        <w:t>.</w:t>
      </w:r>
      <w:r>
        <w:rPr>
          <w:iCs/>
          <w:sz w:val="24"/>
          <w:szCs w:val="28"/>
        </w:rPr>
        <w:t xml:space="preserve"> </w:t>
      </w:r>
    </w:p>
    <w:p w:rsidR="00BB334B" w:rsidRDefault="00BB334B" w:rsidP="00665B22">
      <w:pPr>
        <w:jc w:val="both"/>
        <w:rPr>
          <w:b/>
          <w:iCs/>
          <w:sz w:val="20"/>
          <w:szCs w:val="28"/>
        </w:rPr>
      </w:pPr>
    </w:p>
    <w:p w:rsidR="00665B22" w:rsidRPr="00BB334B" w:rsidRDefault="00665B22" w:rsidP="00665B22">
      <w:pPr>
        <w:jc w:val="both"/>
        <w:rPr>
          <w:b/>
          <w:iCs/>
          <w:sz w:val="20"/>
          <w:szCs w:val="28"/>
        </w:rPr>
      </w:pPr>
      <w:r w:rsidRPr="00BB334B">
        <w:rPr>
          <w:b/>
          <w:iCs/>
          <w:sz w:val="20"/>
          <w:szCs w:val="28"/>
        </w:rPr>
        <w:t>Tab. 1 – Tipologia di immobile dove è collocata l’abitazione delle famiglie in alcuni paesi europei (anno 2018 – Val.%)</w:t>
      </w:r>
    </w:p>
    <w:tbl>
      <w:tblPr>
        <w:tblStyle w:val="GridTable4Accent6"/>
        <w:tblW w:w="9776" w:type="dxa"/>
        <w:tblLook w:val="04A0" w:firstRow="1" w:lastRow="0" w:firstColumn="1" w:lastColumn="0" w:noHBand="0" w:noVBand="1"/>
      </w:tblPr>
      <w:tblGrid>
        <w:gridCol w:w="2263"/>
        <w:gridCol w:w="1924"/>
        <w:gridCol w:w="1925"/>
        <w:gridCol w:w="1925"/>
        <w:gridCol w:w="1739"/>
      </w:tblGrid>
      <w:tr w:rsidR="00665B22" w:rsidRPr="00BB3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65B22" w:rsidRPr="00BB334B" w:rsidRDefault="00665B22" w:rsidP="00665B22">
            <w:pPr>
              <w:jc w:val="center"/>
              <w:rPr>
                <w:bCs w:val="0"/>
                <w:iCs/>
                <w:sz w:val="20"/>
                <w:szCs w:val="18"/>
              </w:rPr>
            </w:pPr>
          </w:p>
        </w:tc>
        <w:tc>
          <w:tcPr>
            <w:tcW w:w="1924" w:type="dxa"/>
          </w:tcPr>
          <w:p w:rsidR="00665B22" w:rsidRPr="00BB334B" w:rsidRDefault="00665B22" w:rsidP="00665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0"/>
                <w:szCs w:val="18"/>
              </w:rPr>
            </w:pPr>
            <w:r w:rsidRPr="00BB334B">
              <w:rPr>
                <w:rFonts w:ascii="Arial Black" w:hAnsi="Arial Black"/>
                <w:bCs w:val="0"/>
                <w:sz w:val="20"/>
                <w:szCs w:val="18"/>
              </w:rPr>
              <w:t>In edifici con più di 10 alloggi</w:t>
            </w:r>
          </w:p>
        </w:tc>
        <w:tc>
          <w:tcPr>
            <w:tcW w:w="1925" w:type="dxa"/>
          </w:tcPr>
          <w:p w:rsidR="00665B22" w:rsidRPr="00BB334B" w:rsidRDefault="00665B22" w:rsidP="00665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0"/>
                <w:szCs w:val="18"/>
              </w:rPr>
            </w:pPr>
            <w:r w:rsidRPr="00BB334B">
              <w:rPr>
                <w:rFonts w:ascii="Arial Black" w:hAnsi="Arial Black"/>
                <w:bCs w:val="0"/>
                <w:sz w:val="20"/>
                <w:szCs w:val="18"/>
              </w:rPr>
              <w:t>In edifici con meno di10 alloggi</w:t>
            </w:r>
          </w:p>
        </w:tc>
        <w:tc>
          <w:tcPr>
            <w:tcW w:w="1925" w:type="dxa"/>
          </w:tcPr>
          <w:p w:rsidR="00665B22" w:rsidRPr="00BB334B" w:rsidRDefault="00665B22" w:rsidP="00665B22">
            <w:pPr>
              <w:spacing w:line="28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 w:val="0"/>
                <w:sz w:val="20"/>
                <w:szCs w:val="18"/>
              </w:rPr>
            </w:pPr>
            <w:r w:rsidRPr="00BB334B">
              <w:rPr>
                <w:rFonts w:ascii="Arial Black" w:hAnsi="Arial Black"/>
                <w:bCs w:val="0"/>
                <w:sz w:val="20"/>
                <w:szCs w:val="18"/>
              </w:rPr>
              <w:t>In altre tipologie</w:t>
            </w:r>
          </w:p>
          <w:p w:rsidR="00665B22" w:rsidRPr="00BB334B" w:rsidRDefault="00665B22" w:rsidP="00665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0"/>
                <w:szCs w:val="18"/>
              </w:rPr>
            </w:pPr>
            <w:r w:rsidRPr="00BB334B">
              <w:rPr>
                <w:rFonts w:ascii="Arial Black" w:hAnsi="Arial Black"/>
                <w:bCs w:val="0"/>
                <w:sz w:val="20"/>
                <w:szCs w:val="18"/>
              </w:rPr>
              <w:t>edilizie</w:t>
            </w:r>
          </w:p>
        </w:tc>
        <w:tc>
          <w:tcPr>
            <w:tcW w:w="1739" w:type="dxa"/>
          </w:tcPr>
          <w:p w:rsidR="00665B22" w:rsidRPr="00BB334B" w:rsidRDefault="00665B22" w:rsidP="00665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0"/>
                <w:szCs w:val="18"/>
              </w:rPr>
            </w:pPr>
            <w:r w:rsidRPr="00BB334B">
              <w:rPr>
                <w:rFonts w:ascii="Arial Black" w:hAnsi="Arial Black"/>
                <w:bCs w:val="0"/>
                <w:sz w:val="20"/>
                <w:szCs w:val="18"/>
              </w:rPr>
              <w:t>Totale famiglie</w:t>
            </w:r>
          </w:p>
        </w:tc>
      </w:tr>
      <w:tr w:rsidR="00665B22" w:rsidRPr="00BB3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65B22" w:rsidRPr="00BB334B" w:rsidRDefault="00665B22" w:rsidP="00665B22">
            <w:pPr>
              <w:jc w:val="both"/>
              <w:rPr>
                <w:iCs/>
                <w:sz w:val="20"/>
                <w:szCs w:val="18"/>
              </w:rPr>
            </w:pPr>
          </w:p>
        </w:tc>
        <w:tc>
          <w:tcPr>
            <w:tcW w:w="1924" w:type="dxa"/>
          </w:tcPr>
          <w:p w:rsidR="00665B22" w:rsidRPr="00BB334B" w:rsidRDefault="00665B22" w:rsidP="00665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</w:p>
        </w:tc>
        <w:tc>
          <w:tcPr>
            <w:tcW w:w="1925" w:type="dxa"/>
          </w:tcPr>
          <w:p w:rsidR="00665B22" w:rsidRPr="00BB334B" w:rsidRDefault="00665B22" w:rsidP="00665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</w:p>
        </w:tc>
        <w:tc>
          <w:tcPr>
            <w:tcW w:w="1925" w:type="dxa"/>
          </w:tcPr>
          <w:p w:rsidR="00665B22" w:rsidRPr="00BB334B" w:rsidRDefault="00665B22" w:rsidP="00665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</w:p>
        </w:tc>
        <w:tc>
          <w:tcPr>
            <w:tcW w:w="1739" w:type="dxa"/>
          </w:tcPr>
          <w:p w:rsidR="00665B22" w:rsidRPr="00BB334B" w:rsidRDefault="00665B22" w:rsidP="00665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</w:p>
        </w:tc>
      </w:tr>
      <w:tr w:rsidR="00665B22" w:rsidRPr="00BB3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65B22" w:rsidRPr="00BB334B" w:rsidRDefault="00665B22" w:rsidP="00665B22">
            <w:pPr>
              <w:jc w:val="both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Spagna</w:t>
            </w:r>
          </w:p>
        </w:tc>
        <w:tc>
          <w:tcPr>
            <w:tcW w:w="1924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44,8</w:t>
            </w:r>
          </w:p>
        </w:tc>
        <w:tc>
          <w:tcPr>
            <w:tcW w:w="1925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20,1</w:t>
            </w:r>
          </w:p>
        </w:tc>
        <w:tc>
          <w:tcPr>
            <w:tcW w:w="1925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35,1</w:t>
            </w:r>
          </w:p>
        </w:tc>
        <w:tc>
          <w:tcPr>
            <w:tcW w:w="1739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100,0</w:t>
            </w:r>
          </w:p>
        </w:tc>
      </w:tr>
      <w:tr w:rsidR="00665B22" w:rsidRPr="00BB3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65B22" w:rsidRPr="00BB334B" w:rsidRDefault="00665B22" w:rsidP="00665B22">
            <w:pPr>
              <w:jc w:val="both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Germania</w:t>
            </w:r>
          </w:p>
        </w:tc>
        <w:tc>
          <w:tcPr>
            <w:tcW w:w="1924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16,7</w:t>
            </w:r>
          </w:p>
        </w:tc>
        <w:tc>
          <w:tcPr>
            <w:tcW w:w="1925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39,5</w:t>
            </w:r>
          </w:p>
        </w:tc>
        <w:tc>
          <w:tcPr>
            <w:tcW w:w="1925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43,4</w:t>
            </w:r>
          </w:p>
        </w:tc>
        <w:tc>
          <w:tcPr>
            <w:tcW w:w="1739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100,0</w:t>
            </w:r>
          </w:p>
        </w:tc>
      </w:tr>
      <w:tr w:rsidR="00665B22" w:rsidRPr="00BB3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65B22" w:rsidRPr="00E13FEA" w:rsidRDefault="00665B22" w:rsidP="00665B22">
            <w:pPr>
              <w:jc w:val="both"/>
              <w:rPr>
                <w:rFonts w:ascii="Arial Black" w:hAnsi="Arial Black"/>
                <w:iCs/>
                <w:sz w:val="20"/>
                <w:szCs w:val="18"/>
              </w:rPr>
            </w:pPr>
            <w:r w:rsidRPr="00E13FEA">
              <w:rPr>
                <w:rFonts w:ascii="Arial Black" w:hAnsi="Arial Black"/>
                <w:sz w:val="20"/>
                <w:szCs w:val="18"/>
              </w:rPr>
              <w:t>Italia</w:t>
            </w:r>
          </w:p>
        </w:tc>
        <w:tc>
          <w:tcPr>
            <w:tcW w:w="1924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25,5</w:t>
            </w:r>
          </w:p>
        </w:tc>
        <w:tc>
          <w:tcPr>
            <w:tcW w:w="1925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27,1</w:t>
            </w:r>
          </w:p>
        </w:tc>
        <w:tc>
          <w:tcPr>
            <w:tcW w:w="1925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47,4</w:t>
            </w:r>
          </w:p>
        </w:tc>
        <w:tc>
          <w:tcPr>
            <w:tcW w:w="1739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100,0</w:t>
            </w:r>
          </w:p>
        </w:tc>
      </w:tr>
      <w:tr w:rsidR="00665B22" w:rsidRPr="00BB3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65B22" w:rsidRPr="00BB334B" w:rsidRDefault="00665B22" w:rsidP="00665B22">
            <w:pPr>
              <w:jc w:val="both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Francia</w:t>
            </w:r>
          </w:p>
        </w:tc>
        <w:tc>
          <w:tcPr>
            <w:tcW w:w="1924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20,6</w:t>
            </w:r>
          </w:p>
        </w:tc>
        <w:tc>
          <w:tcPr>
            <w:tcW w:w="1925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10,4</w:t>
            </w:r>
          </w:p>
        </w:tc>
        <w:tc>
          <w:tcPr>
            <w:tcW w:w="1925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69,0</w:t>
            </w:r>
          </w:p>
        </w:tc>
        <w:tc>
          <w:tcPr>
            <w:tcW w:w="1739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100,0</w:t>
            </w:r>
          </w:p>
        </w:tc>
      </w:tr>
      <w:tr w:rsidR="00665B22" w:rsidRPr="00BB3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65B22" w:rsidRPr="00E13FEA" w:rsidRDefault="00665B22" w:rsidP="00665B22">
            <w:pPr>
              <w:jc w:val="both"/>
              <w:rPr>
                <w:rFonts w:ascii="Tahoma" w:hAnsi="Tahoma"/>
                <w:b w:val="0"/>
                <w:sz w:val="20"/>
                <w:szCs w:val="18"/>
              </w:rPr>
            </w:pPr>
            <w:r w:rsidRPr="00E13FEA">
              <w:rPr>
                <w:rFonts w:ascii="Arial Black" w:hAnsi="Arial Black"/>
                <w:b w:val="0"/>
                <w:sz w:val="20"/>
                <w:szCs w:val="18"/>
              </w:rPr>
              <w:t>UNIONE EUROPEA</w:t>
            </w:r>
          </w:p>
        </w:tc>
        <w:tc>
          <w:tcPr>
            <w:tcW w:w="1924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23,2</w:t>
            </w:r>
          </w:p>
        </w:tc>
        <w:tc>
          <w:tcPr>
            <w:tcW w:w="1925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18,1</w:t>
            </w:r>
          </w:p>
        </w:tc>
        <w:tc>
          <w:tcPr>
            <w:tcW w:w="1925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58,7</w:t>
            </w:r>
          </w:p>
        </w:tc>
        <w:tc>
          <w:tcPr>
            <w:tcW w:w="1739" w:type="dxa"/>
          </w:tcPr>
          <w:p w:rsidR="00665B22" w:rsidRPr="00BB334B" w:rsidRDefault="00665B22" w:rsidP="00665B22">
            <w:pPr>
              <w:tabs>
                <w:tab w:val="decimal" w:pos="8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sz w:val="20"/>
                <w:szCs w:val="18"/>
              </w:rPr>
            </w:pPr>
            <w:r w:rsidRPr="00BB334B">
              <w:rPr>
                <w:rFonts w:ascii="Tahoma" w:hAnsi="Tahoma"/>
                <w:sz w:val="20"/>
                <w:szCs w:val="18"/>
              </w:rPr>
              <w:t>100,0</w:t>
            </w:r>
          </w:p>
        </w:tc>
      </w:tr>
    </w:tbl>
    <w:p w:rsidR="00665B22" w:rsidRPr="003D137C" w:rsidRDefault="00665B22" w:rsidP="00665B22">
      <w:pPr>
        <w:jc w:val="both"/>
        <w:rPr>
          <w:iCs/>
          <w:szCs w:val="28"/>
        </w:rPr>
      </w:pPr>
      <w:r w:rsidRPr="003D137C">
        <w:rPr>
          <w:iCs/>
          <w:szCs w:val="28"/>
        </w:rPr>
        <w:t>Fonte:</w:t>
      </w:r>
      <w:r>
        <w:rPr>
          <w:iCs/>
          <w:szCs w:val="28"/>
        </w:rPr>
        <w:t xml:space="preserve"> </w:t>
      </w:r>
      <w:r w:rsidRPr="003D137C">
        <w:rPr>
          <w:iCs/>
          <w:szCs w:val="28"/>
        </w:rPr>
        <w:t>Elaborazione Rur su dati Eurostat,</w:t>
      </w:r>
      <w:r w:rsidR="00A37A3C">
        <w:rPr>
          <w:iCs/>
          <w:szCs w:val="28"/>
        </w:rPr>
        <w:t xml:space="preserve"> </w:t>
      </w:r>
      <w:r w:rsidRPr="003D137C">
        <w:rPr>
          <w:iCs/>
          <w:szCs w:val="28"/>
        </w:rPr>
        <w:t>2020</w:t>
      </w:r>
    </w:p>
    <w:p w:rsidR="00665B22" w:rsidRDefault="00665B22" w:rsidP="00BB334B">
      <w:pPr>
        <w:spacing w:before="120" w:after="120" w:line="240" w:lineRule="auto"/>
        <w:jc w:val="both"/>
        <w:rPr>
          <w:iCs/>
          <w:sz w:val="28"/>
          <w:szCs w:val="28"/>
        </w:rPr>
      </w:pPr>
    </w:p>
    <w:p w:rsidR="00BB334B" w:rsidRDefault="00BB334B">
      <w:pPr>
        <w:rPr>
          <w:iCs/>
          <w:sz w:val="24"/>
          <w:szCs w:val="28"/>
        </w:rPr>
      </w:pPr>
      <w:r>
        <w:rPr>
          <w:iCs/>
          <w:sz w:val="24"/>
          <w:szCs w:val="28"/>
        </w:rPr>
        <w:lastRenderedPageBreak/>
        <w:br w:type="page"/>
      </w:r>
    </w:p>
    <w:p w:rsidR="00665B22" w:rsidRPr="002C1C92" w:rsidRDefault="00665B22" w:rsidP="00BB334B">
      <w:pPr>
        <w:spacing w:before="120" w:after="120" w:line="240" w:lineRule="auto"/>
        <w:jc w:val="both"/>
        <w:rPr>
          <w:iCs/>
          <w:sz w:val="24"/>
          <w:szCs w:val="28"/>
        </w:rPr>
      </w:pPr>
      <w:r w:rsidRPr="002C1C92">
        <w:rPr>
          <w:iCs/>
          <w:sz w:val="24"/>
          <w:szCs w:val="28"/>
        </w:rPr>
        <w:lastRenderedPageBreak/>
        <w:t>Secondo Eurostat</w:t>
      </w:r>
      <w:r>
        <w:rPr>
          <w:iCs/>
          <w:sz w:val="24"/>
          <w:szCs w:val="28"/>
        </w:rPr>
        <w:t xml:space="preserve">, fra i grandi paesi europei l’Italia vive una </w:t>
      </w:r>
      <w:r w:rsidRPr="002B50AC">
        <w:rPr>
          <w:b/>
          <w:iCs/>
          <w:sz w:val="24"/>
          <w:szCs w:val="28"/>
        </w:rPr>
        <w:t>condizione abitativa più disagiata</w:t>
      </w:r>
      <w:r>
        <w:rPr>
          <w:iCs/>
          <w:sz w:val="24"/>
          <w:szCs w:val="28"/>
        </w:rPr>
        <w:t xml:space="preserve"> con ben il </w:t>
      </w:r>
      <w:r w:rsidRPr="002B50AC">
        <w:rPr>
          <w:b/>
          <w:iCs/>
          <w:sz w:val="24"/>
          <w:szCs w:val="28"/>
        </w:rPr>
        <w:t>30,9% dei nuclei in sovraffollamento</w:t>
      </w:r>
      <w:r>
        <w:rPr>
          <w:iCs/>
          <w:sz w:val="24"/>
          <w:szCs w:val="28"/>
        </w:rPr>
        <w:t xml:space="preserve">, ovvero con disponibilità di spazio residenziale, calcolato sulla base della composizione del nucleo familiare e l’età dei componenti, inferiore agli standard europei di riferimento. Il tasso di </w:t>
      </w:r>
      <w:r w:rsidRPr="007E76BA">
        <w:rPr>
          <w:i/>
          <w:iCs/>
          <w:sz w:val="24"/>
          <w:szCs w:val="28"/>
        </w:rPr>
        <w:t xml:space="preserve">overcrowding </w:t>
      </w:r>
      <w:r>
        <w:rPr>
          <w:iCs/>
          <w:sz w:val="24"/>
          <w:szCs w:val="28"/>
        </w:rPr>
        <w:t>medio dell’Unione Europea riguarda il 18,3% delle famiglie, mentre la Francia scende all’8,2%, la Germania al 6,3% e la Spagna al 5,0% (fig. 1).</w:t>
      </w:r>
    </w:p>
    <w:p w:rsidR="00BB334B" w:rsidRDefault="00BB334B" w:rsidP="00665B22">
      <w:pPr>
        <w:ind w:left="708" w:hanging="708"/>
        <w:jc w:val="both"/>
        <w:rPr>
          <w:b/>
          <w:iCs/>
          <w:sz w:val="20"/>
          <w:szCs w:val="28"/>
        </w:rPr>
      </w:pPr>
    </w:p>
    <w:p w:rsidR="00665B22" w:rsidRPr="00BB334B" w:rsidRDefault="00665B22" w:rsidP="00665B22">
      <w:pPr>
        <w:ind w:left="708" w:hanging="708"/>
        <w:jc w:val="both"/>
        <w:rPr>
          <w:b/>
          <w:iCs/>
          <w:color w:val="FF0000"/>
          <w:sz w:val="20"/>
          <w:szCs w:val="28"/>
        </w:rPr>
      </w:pPr>
      <w:r w:rsidRPr="00BB334B">
        <w:rPr>
          <w:b/>
          <w:iCs/>
          <w:sz w:val="20"/>
          <w:szCs w:val="28"/>
        </w:rPr>
        <w:t>Fig. 1 -</w:t>
      </w:r>
      <w:r w:rsidRPr="00BB334B">
        <w:rPr>
          <w:b/>
          <w:iCs/>
          <w:sz w:val="20"/>
          <w:szCs w:val="28"/>
        </w:rPr>
        <w:tab/>
        <w:t>Famiglie che vivono in sovraffollamento (esclusi i nuclei di 1 sola persona - anno 2018 val.%)</w:t>
      </w:r>
      <w:r w:rsidR="00A37A3C" w:rsidRPr="00BB334B">
        <w:rPr>
          <w:b/>
          <w:iCs/>
          <w:color w:val="FF0000"/>
          <w:sz w:val="20"/>
          <w:szCs w:val="28"/>
        </w:rPr>
        <w:t xml:space="preserve"> </w:t>
      </w:r>
    </w:p>
    <w:p w:rsidR="00665B22" w:rsidRPr="00BB334B" w:rsidRDefault="00665B22" w:rsidP="00665B22">
      <w:pPr>
        <w:jc w:val="both"/>
        <w:rPr>
          <w:iCs/>
          <w:sz w:val="20"/>
          <w:szCs w:val="28"/>
        </w:rPr>
      </w:pPr>
      <w:r w:rsidRPr="00BB334B">
        <w:rPr>
          <w:iCs/>
          <w:noProof/>
          <w:sz w:val="20"/>
          <w:szCs w:val="28"/>
          <w:lang w:eastAsia="it-IT"/>
        </w:rPr>
        <w:drawing>
          <wp:inline distT="0" distB="0" distL="0" distR="0">
            <wp:extent cx="5069840" cy="2485390"/>
            <wp:effectExtent l="25400" t="25400" r="10160" b="3810"/>
            <wp:docPr id="4" name="G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5B22" w:rsidRPr="00BB334B" w:rsidRDefault="00665B22" w:rsidP="00665B22">
      <w:pPr>
        <w:jc w:val="both"/>
        <w:rPr>
          <w:iCs/>
          <w:sz w:val="20"/>
          <w:szCs w:val="28"/>
        </w:rPr>
      </w:pPr>
      <w:r w:rsidRPr="00BB334B">
        <w:rPr>
          <w:iCs/>
          <w:sz w:val="20"/>
          <w:szCs w:val="28"/>
        </w:rPr>
        <w:t>Fonte:</w:t>
      </w:r>
      <w:r w:rsidR="00A37A3C" w:rsidRPr="00BB334B">
        <w:rPr>
          <w:iCs/>
          <w:sz w:val="20"/>
          <w:szCs w:val="28"/>
        </w:rPr>
        <w:t xml:space="preserve"> </w:t>
      </w:r>
      <w:r w:rsidRPr="00BB334B">
        <w:rPr>
          <w:iCs/>
          <w:sz w:val="20"/>
          <w:szCs w:val="28"/>
        </w:rPr>
        <w:t>Elaborazione Rur su dati Eurostat,</w:t>
      </w:r>
      <w:r w:rsidR="00A37A3C" w:rsidRPr="00BB334B">
        <w:rPr>
          <w:iCs/>
          <w:sz w:val="20"/>
          <w:szCs w:val="28"/>
        </w:rPr>
        <w:t xml:space="preserve"> </w:t>
      </w:r>
      <w:r w:rsidRPr="00BB334B">
        <w:rPr>
          <w:iCs/>
          <w:sz w:val="20"/>
          <w:szCs w:val="28"/>
        </w:rPr>
        <w:t>2020</w:t>
      </w:r>
    </w:p>
    <w:p w:rsidR="00665B22" w:rsidRDefault="00BB334B" w:rsidP="00BB334B">
      <w:pPr>
        <w:spacing w:before="120" w:after="120" w:line="240" w:lineRule="auto"/>
        <w:jc w:val="both"/>
        <w:rPr>
          <w:iCs/>
          <w:szCs w:val="28"/>
        </w:rPr>
      </w:pPr>
      <w:r>
        <w:rPr>
          <w:iCs/>
          <w:szCs w:val="28"/>
        </w:rPr>
        <w:t>C</w:t>
      </w:r>
      <w:r w:rsidR="00665B22">
        <w:rPr>
          <w:iCs/>
          <w:szCs w:val="28"/>
        </w:rPr>
        <w:t xml:space="preserve">i sono quindi ragioni oggettive nella valutazione che il </w:t>
      </w:r>
      <w:r w:rsidR="00665B22" w:rsidRPr="007E76BA">
        <w:rPr>
          <w:b/>
          <w:iCs/>
          <w:szCs w:val="28"/>
        </w:rPr>
        <w:t>37,5% degli italiani ha fornito di vivere in una casa piccola</w:t>
      </w:r>
      <w:r w:rsidR="00293F95">
        <w:rPr>
          <w:iCs/>
          <w:szCs w:val="28"/>
        </w:rPr>
        <w:t xml:space="preserve"> in</w:t>
      </w:r>
      <w:r w:rsidR="00665B22">
        <w:rPr>
          <w:iCs/>
          <w:szCs w:val="28"/>
        </w:rPr>
        <w:t xml:space="preserve"> un’indagine realizzata</w:t>
      </w:r>
      <w:r w:rsidR="00293F95">
        <w:rPr>
          <w:iCs/>
          <w:szCs w:val="28"/>
        </w:rPr>
        <w:t>,</w:t>
      </w:r>
      <w:r w:rsidR="00665B22">
        <w:rPr>
          <w:iCs/>
          <w:szCs w:val="28"/>
        </w:rPr>
        <w:t xml:space="preserve"> nell’autunno 2019</w:t>
      </w:r>
      <w:r w:rsidR="00293F95">
        <w:rPr>
          <w:iCs/>
          <w:szCs w:val="28"/>
        </w:rPr>
        <w:t>,</w:t>
      </w:r>
      <w:r w:rsidR="00665B22">
        <w:rPr>
          <w:iCs/>
          <w:szCs w:val="28"/>
        </w:rPr>
        <w:t xml:space="preserve"> dalla RUR (think tank cui aderiscono fr</w:t>
      </w:r>
      <w:r w:rsidR="00293F95">
        <w:rPr>
          <w:iCs/>
          <w:szCs w:val="28"/>
        </w:rPr>
        <w:t xml:space="preserve">a gli altri </w:t>
      </w:r>
      <w:r w:rsidR="00665B22">
        <w:rPr>
          <w:iCs/>
          <w:szCs w:val="28"/>
        </w:rPr>
        <w:t xml:space="preserve"> Intesa SanPaolo, Cdp, Tim Federcasa e Sistemi Urbani-FS), adducendola come prima motivazioni per la ricerca attiva di un nuovo alloggio da acquistare o affittare. La quota d’insoddisfatti per le dimensioni dell’alloggio sale al </w:t>
      </w:r>
      <w:r w:rsidR="00665B22" w:rsidRPr="001A1D35">
        <w:rPr>
          <w:b/>
          <w:iCs/>
          <w:szCs w:val="28"/>
        </w:rPr>
        <w:t>44% a Roma</w:t>
      </w:r>
      <w:r w:rsidR="00665B22">
        <w:rPr>
          <w:iCs/>
          <w:szCs w:val="28"/>
        </w:rPr>
        <w:t>,</w:t>
      </w:r>
      <w:r w:rsidR="00A37A3C">
        <w:rPr>
          <w:iCs/>
          <w:szCs w:val="28"/>
        </w:rPr>
        <w:t xml:space="preserve"> </w:t>
      </w:r>
      <w:r w:rsidR="00665B22">
        <w:rPr>
          <w:iCs/>
          <w:szCs w:val="28"/>
        </w:rPr>
        <w:t xml:space="preserve">al </w:t>
      </w:r>
      <w:r w:rsidR="00665B22" w:rsidRPr="001A1D35">
        <w:rPr>
          <w:b/>
          <w:iCs/>
          <w:szCs w:val="28"/>
        </w:rPr>
        <w:t>40% a Torino</w:t>
      </w:r>
      <w:r w:rsidR="00665B22">
        <w:rPr>
          <w:iCs/>
          <w:szCs w:val="28"/>
        </w:rPr>
        <w:t xml:space="preserve">, al </w:t>
      </w:r>
      <w:r w:rsidR="00665B22" w:rsidRPr="001A1D35">
        <w:rPr>
          <w:b/>
          <w:iCs/>
          <w:szCs w:val="28"/>
        </w:rPr>
        <w:t>39% a Firenze e Napoli</w:t>
      </w:r>
      <w:r w:rsidR="00665B22">
        <w:rPr>
          <w:iCs/>
          <w:szCs w:val="28"/>
        </w:rPr>
        <w:t>, mentre Milano resta nella media del 37%.</w:t>
      </w:r>
      <w:r w:rsidR="00A37A3C">
        <w:rPr>
          <w:iCs/>
          <w:szCs w:val="28"/>
        </w:rPr>
        <w:t xml:space="preserve"> </w:t>
      </w:r>
      <w:r w:rsidR="00665B22">
        <w:rPr>
          <w:iCs/>
          <w:szCs w:val="28"/>
        </w:rPr>
        <w:t>Leggermente più bassa è la quota  registrata a  Bari (34%),</w:t>
      </w:r>
      <w:r w:rsidR="00A37A3C">
        <w:rPr>
          <w:iCs/>
          <w:szCs w:val="28"/>
        </w:rPr>
        <w:t xml:space="preserve"> </w:t>
      </w:r>
      <w:r w:rsidR="00665B22">
        <w:rPr>
          <w:iCs/>
          <w:szCs w:val="28"/>
        </w:rPr>
        <w:t>Bologna (33%), Palermo e Genova (32%).Oltre un terzo di italiani, quindi, valuta piccola la casa in cui abita (</w:t>
      </w:r>
      <w:r w:rsidR="00A37A3C">
        <w:rPr>
          <w:iCs/>
          <w:szCs w:val="28"/>
        </w:rPr>
        <w:t>f</w:t>
      </w:r>
      <w:r w:rsidR="00665B22">
        <w:rPr>
          <w:iCs/>
          <w:szCs w:val="28"/>
        </w:rPr>
        <w:t>ig.</w:t>
      </w:r>
      <w:r w:rsidR="00A37A3C">
        <w:rPr>
          <w:iCs/>
          <w:szCs w:val="28"/>
        </w:rPr>
        <w:t xml:space="preserve"> </w:t>
      </w:r>
      <w:r w:rsidR="00665B22">
        <w:rPr>
          <w:iCs/>
          <w:szCs w:val="28"/>
        </w:rPr>
        <w:t>2)</w:t>
      </w:r>
      <w:r w:rsidR="00A37A3C">
        <w:rPr>
          <w:iCs/>
          <w:szCs w:val="28"/>
        </w:rPr>
        <w:t>.</w:t>
      </w:r>
    </w:p>
    <w:p w:rsidR="00665B22" w:rsidRDefault="00665B22" w:rsidP="00BB334B">
      <w:pPr>
        <w:spacing w:before="120" w:after="120" w:line="240" w:lineRule="auto"/>
        <w:jc w:val="both"/>
        <w:rPr>
          <w:iCs/>
          <w:szCs w:val="28"/>
        </w:rPr>
      </w:pPr>
      <w:r>
        <w:rPr>
          <w:iCs/>
          <w:szCs w:val="28"/>
        </w:rPr>
        <w:t xml:space="preserve">Un aspetto non secondario del vivere in casa riguarda le </w:t>
      </w:r>
      <w:r w:rsidR="00293F95">
        <w:rPr>
          <w:b/>
          <w:iCs/>
          <w:szCs w:val="28"/>
        </w:rPr>
        <w:t>persone che abitano</w:t>
      </w:r>
      <w:r w:rsidRPr="007E76BA">
        <w:rPr>
          <w:b/>
          <w:iCs/>
          <w:szCs w:val="28"/>
        </w:rPr>
        <w:t xml:space="preserve"> da sole</w:t>
      </w:r>
      <w:r>
        <w:rPr>
          <w:iCs/>
          <w:szCs w:val="28"/>
        </w:rPr>
        <w:t xml:space="preserve">, in costante crescita anche negli ultimi anni e che per la metà sono costituiti da anziani: </w:t>
      </w:r>
      <w:r w:rsidRPr="001A1D35">
        <w:rPr>
          <w:b/>
          <w:iCs/>
          <w:szCs w:val="28"/>
        </w:rPr>
        <w:t>gli ultra sessantacinquenni soli sono pari a 9.537.000</w:t>
      </w:r>
      <w:r>
        <w:rPr>
          <w:iCs/>
          <w:szCs w:val="28"/>
        </w:rPr>
        <w:t>.</w:t>
      </w:r>
      <w:r w:rsidR="00A37A3C">
        <w:rPr>
          <w:iCs/>
          <w:szCs w:val="28"/>
        </w:rPr>
        <w:t xml:space="preserve"> </w:t>
      </w:r>
      <w:r>
        <w:rPr>
          <w:iCs/>
          <w:szCs w:val="28"/>
        </w:rPr>
        <w:t>Viviamo fortunatamente un momento in cui è più facile l’aiuto reciproco, che potrebbe sopperire a carenze strutturali che colpiscono proprio i singles. Secondo Eurostat nel 2018 14,4% delle persone che vivono da sole in Italia non hanno nessuno cui affidarsi, una quota più che doppia rispetto alla media europea del 6,8% e molto lontana da paesi come Germania (solo 4,9% non ha alcun punto di riferimento), la Francia (7,7%) e persino la Spagna (4,2%) dove evidentemente funzionano meglio le reti familiari.</w:t>
      </w:r>
    </w:p>
    <w:p w:rsidR="00665B22" w:rsidRPr="000D3CB5" w:rsidRDefault="00665B22" w:rsidP="00BB334B">
      <w:pPr>
        <w:spacing w:before="120" w:after="120" w:line="240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>“Gli italiani, seppur forzatamente, stanno riscoprendo la vita domestica – ha commentato il Presidente della RUR Giuseppe Roma –ed è inevitabile che emergano i pregi e i difetti della propria abitazione</w:t>
      </w:r>
      <w:r w:rsidR="00A37A3C">
        <w:rPr>
          <w:i/>
          <w:iCs/>
          <w:szCs w:val="28"/>
        </w:rPr>
        <w:t>” “</w:t>
      </w:r>
      <w:r>
        <w:rPr>
          <w:i/>
          <w:iCs/>
          <w:szCs w:val="28"/>
        </w:rPr>
        <w:t>Il modello abitativo tutto proiettato verso l’esterno ci ha fatto sottovalutare le prestazioni dell’immobile in cui viviamo – ha proseguito il prof.</w:t>
      </w:r>
      <w:r w:rsidR="00A37A3C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Roma – e ora ne rileviamo i limiti.</w:t>
      </w:r>
      <w:r w:rsidR="00A37A3C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Di questo bisognerà tenerne conto</w:t>
      </w:r>
      <w:r w:rsidR="00293F95">
        <w:rPr>
          <w:i/>
          <w:iCs/>
          <w:szCs w:val="28"/>
        </w:rPr>
        <w:t xml:space="preserve"> anche</w:t>
      </w:r>
      <w:r>
        <w:rPr>
          <w:i/>
          <w:iCs/>
          <w:szCs w:val="28"/>
        </w:rPr>
        <w:t xml:space="preserve"> nel gestire la s</w:t>
      </w:r>
      <w:r w:rsidR="00293F95">
        <w:rPr>
          <w:i/>
          <w:iCs/>
          <w:szCs w:val="28"/>
        </w:rPr>
        <w:t>acrosanta regolamentazione del lock</w:t>
      </w:r>
      <w:r>
        <w:rPr>
          <w:i/>
          <w:iCs/>
          <w:szCs w:val="28"/>
        </w:rPr>
        <w:t xml:space="preserve">down” </w:t>
      </w:r>
    </w:p>
    <w:p w:rsidR="00BB334B" w:rsidRDefault="00BB334B">
      <w:pPr>
        <w:rPr>
          <w:b/>
          <w:iCs/>
          <w:sz w:val="20"/>
          <w:szCs w:val="28"/>
        </w:rPr>
      </w:pPr>
      <w:r>
        <w:rPr>
          <w:b/>
          <w:iCs/>
          <w:sz w:val="20"/>
          <w:szCs w:val="28"/>
        </w:rPr>
        <w:br w:type="page"/>
      </w:r>
    </w:p>
    <w:p w:rsidR="00665B22" w:rsidRPr="00BB334B" w:rsidRDefault="00665B22" w:rsidP="00665B22">
      <w:pPr>
        <w:jc w:val="both"/>
        <w:rPr>
          <w:b/>
          <w:iCs/>
          <w:color w:val="FF0000"/>
          <w:sz w:val="20"/>
          <w:szCs w:val="28"/>
        </w:rPr>
      </w:pPr>
      <w:r w:rsidRPr="00BB334B">
        <w:rPr>
          <w:b/>
          <w:iCs/>
          <w:sz w:val="20"/>
          <w:szCs w:val="28"/>
        </w:rPr>
        <w:lastRenderedPageBreak/>
        <w:t>Fig.</w:t>
      </w:r>
      <w:r w:rsidR="00A37A3C" w:rsidRPr="00BB334B">
        <w:rPr>
          <w:b/>
          <w:iCs/>
          <w:sz w:val="20"/>
          <w:szCs w:val="28"/>
        </w:rPr>
        <w:t xml:space="preserve"> </w:t>
      </w:r>
      <w:r w:rsidRPr="00BB334B">
        <w:rPr>
          <w:b/>
          <w:iCs/>
          <w:sz w:val="20"/>
          <w:szCs w:val="28"/>
        </w:rPr>
        <w:t>2 – Famiglie che valutano troppo piccola l’abitazione in cui vivono (</w:t>
      </w:r>
      <w:r w:rsidR="00A37A3C" w:rsidRPr="00BB334B">
        <w:rPr>
          <w:b/>
          <w:iCs/>
          <w:sz w:val="20"/>
          <w:szCs w:val="28"/>
        </w:rPr>
        <w:t>v</w:t>
      </w:r>
      <w:r w:rsidRPr="00BB334B">
        <w:rPr>
          <w:b/>
          <w:iCs/>
          <w:sz w:val="20"/>
          <w:szCs w:val="28"/>
        </w:rPr>
        <w:t>al.</w:t>
      </w:r>
      <w:r w:rsidR="00A37A3C" w:rsidRPr="00BB334B">
        <w:rPr>
          <w:b/>
          <w:iCs/>
          <w:sz w:val="20"/>
          <w:szCs w:val="28"/>
        </w:rPr>
        <w:t xml:space="preserve"> </w:t>
      </w:r>
      <w:r w:rsidRPr="00BB334B">
        <w:rPr>
          <w:b/>
          <w:iCs/>
          <w:sz w:val="20"/>
          <w:szCs w:val="28"/>
        </w:rPr>
        <w:t>%)</w:t>
      </w:r>
      <w:r w:rsidR="00A37A3C" w:rsidRPr="00BB334B">
        <w:rPr>
          <w:b/>
          <w:iCs/>
          <w:color w:val="FF0000"/>
          <w:sz w:val="20"/>
          <w:szCs w:val="28"/>
        </w:rPr>
        <w:t xml:space="preserve"> </w:t>
      </w:r>
    </w:p>
    <w:p w:rsidR="00665B22" w:rsidRPr="00BB334B" w:rsidRDefault="00665B22" w:rsidP="00665B22">
      <w:pPr>
        <w:jc w:val="center"/>
        <w:rPr>
          <w:i/>
          <w:iCs/>
          <w:sz w:val="20"/>
          <w:szCs w:val="28"/>
        </w:rPr>
      </w:pPr>
      <w:r w:rsidRPr="00BB334B">
        <w:rPr>
          <w:i/>
          <w:iCs/>
          <w:noProof/>
          <w:sz w:val="20"/>
          <w:szCs w:val="28"/>
          <w:lang w:eastAsia="it-IT"/>
        </w:rPr>
        <w:drawing>
          <wp:inline distT="0" distB="0" distL="0" distR="0">
            <wp:extent cx="5486400" cy="3200400"/>
            <wp:effectExtent l="25400" t="25400" r="0" b="0"/>
            <wp:docPr id="5" name="G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5B22" w:rsidRPr="00BB334B" w:rsidRDefault="00665B22" w:rsidP="00665B22">
      <w:pPr>
        <w:jc w:val="both"/>
        <w:rPr>
          <w:iCs/>
          <w:sz w:val="20"/>
          <w:szCs w:val="28"/>
        </w:rPr>
      </w:pPr>
      <w:r w:rsidRPr="00BB334B">
        <w:rPr>
          <w:iCs/>
          <w:sz w:val="20"/>
          <w:szCs w:val="28"/>
        </w:rPr>
        <w:t>Fonte: Indagine RUR,</w:t>
      </w:r>
      <w:r w:rsidR="00A37A3C" w:rsidRPr="00BB334B">
        <w:rPr>
          <w:iCs/>
          <w:sz w:val="20"/>
          <w:szCs w:val="28"/>
        </w:rPr>
        <w:t xml:space="preserve"> </w:t>
      </w:r>
      <w:r w:rsidRPr="00BB334B">
        <w:rPr>
          <w:iCs/>
          <w:sz w:val="20"/>
          <w:szCs w:val="28"/>
        </w:rPr>
        <w:t>2019</w:t>
      </w:r>
    </w:p>
    <w:p w:rsidR="000346B7" w:rsidRDefault="000346B7" w:rsidP="0046215D">
      <w:pPr>
        <w:spacing w:before="120" w:after="120" w:line="240" w:lineRule="auto"/>
        <w:ind w:left="425"/>
        <w:jc w:val="both"/>
        <w:rPr>
          <w:sz w:val="24"/>
          <w:szCs w:val="24"/>
        </w:rPr>
      </w:pPr>
    </w:p>
    <w:p w:rsidR="008F51F2" w:rsidRDefault="008F51F2" w:rsidP="0087035A">
      <w:pPr>
        <w:spacing w:before="120" w:after="12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 </w:t>
      </w:r>
      <w:r w:rsidR="001B708B">
        <w:rPr>
          <w:sz w:val="24"/>
          <w:szCs w:val="24"/>
        </w:rPr>
        <w:t>27</w:t>
      </w:r>
      <w:r>
        <w:rPr>
          <w:sz w:val="24"/>
          <w:szCs w:val="24"/>
        </w:rPr>
        <w:t xml:space="preserve"> marzo 2020</w:t>
      </w:r>
    </w:p>
    <w:p w:rsidR="00BB334B" w:rsidRDefault="00BB334B" w:rsidP="0087035A">
      <w:pPr>
        <w:spacing w:before="120" w:after="120" w:line="240" w:lineRule="auto"/>
        <w:ind w:left="425"/>
        <w:jc w:val="both"/>
        <w:rPr>
          <w:sz w:val="24"/>
          <w:szCs w:val="24"/>
        </w:rPr>
      </w:pPr>
    </w:p>
    <w:p w:rsidR="008F51F2" w:rsidRDefault="008F51F2" w:rsidP="009E1D90">
      <w:pPr>
        <w:spacing w:before="120" w:after="4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RUR </w:t>
      </w:r>
      <w:r w:rsidR="009069A1">
        <w:rPr>
          <w:sz w:val="24"/>
          <w:szCs w:val="24"/>
        </w:rPr>
        <w:t>R</w:t>
      </w:r>
      <w:r>
        <w:rPr>
          <w:sz w:val="24"/>
          <w:szCs w:val="24"/>
        </w:rPr>
        <w:t>ete Urbana delle Rappresentanze</w:t>
      </w:r>
    </w:p>
    <w:p w:rsidR="008F51F2" w:rsidRDefault="008F51F2" w:rsidP="009E1D90">
      <w:pPr>
        <w:spacing w:before="120" w:after="4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Via di Porta Pinciana,</w:t>
      </w:r>
      <w:r w:rsidR="00A37A3C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8F51F2" w:rsidRDefault="008F51F2" w:rsidP="009E1D90">
      <w:pPr>
        <w:spacing w:before="120" w:after="4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00187 Roma</w:t>
      </w:r>
    </w:p>
    <w:p w:rsidR="008F51F2" w:rsidRDefault="00DD2CE0" w:rsidP="009E1D90">
      <w:pPr>
        <w:spacing w:before="120" w:after="40" w:line="240" w:lineRule="auto"/>
        <w:ind w:left="425"/>
        <w:jc w:val="both"/>
        <w:rPr>
          <w:sz w:val="24"/>
          <w:szCs w:val="24"/>
        </w:rPr>
      </w:pPr>
      <w:hyperlink r:id="rId11" w:history="1">
        <w:r w:rsidR="008F51F2" w:rsidRPr="00040DE5">
          <w:rPr>
            <w:rStyle w:val="Collegamentoipertestuale"/>
            <w:sz w:val="24"/>
            <w:szCs w:val="24"/>
          </w:rPr>
          <w:t>www.rur.it</w:t>
        </w:r>
      </w:hyperlink>
    </w:p>
    <w:p w:rsidR="00241D4D" w:rsidRPr="00241D4D" w:rsidRDefault="00241D4D" w:rsidP="009E1D90">
      <w:pPr>
        <w:spacing w:before="120" w:after="40" w:line="240" w:lineRule="auto"/>
        <w:ind w:left="425"/>
        <w:jc w:val="both"/>
        <w:rPr>
          <w:b/>
          <w:bCs/>
          <w:sz w:val="24"/>
          <w:szCs w:val="24"/>
        </w:rPr>
      </w:pPr>
      <w:r w:rsidRPr="00241D4D">
        <w:rPr>
          <w:b/>
          <w:bCs/>
          <w:sz w:val="24"/>
          <w:szCs w:val="24"/>
        </w:rPr>
        <w:t>Per interviste o dichiarazioni</w:t>
      </w:r>
    </w:p>
    <w:p w:rsidR="0087035A" w:rsidRPr="004A4B32" w:rsidRDefault="008F51F2" w:rsidP="009E1D90">
      <w:pPr>
        <w:spacing w:before="120" w:after="40" w:line="240" w:lineRule="auto"/>
        <w:ind w:left="425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241D4D" w:rsidRPr="004A4B32">
        <w:rPr>
          <w:sz w:val="24"/>
          <w:szCs w:val="24"/>
          <w:u w:val="single"/>
        </w:rPr>
        <w:t>+39 335 328326</w:t>
      </w:r>
    </w:p>
    <w:p w:rsidR="00241D4D" w:rsidRDefault="004A4B32" w:rsidP="009E1D90">
      <w:pPr>
        <w:spacing w:before="120" w:after="40" w:line="240" w:lineRule="auto"/>
        <w:ind w:left="425"/>
        <w:jc w:val="both"/>
        <w:rPr>
          <w:b/>
          <w:bCs/>
          <w:sz w:val="24"/>
          <w:szCs w:val="24"/>
        </w:rPr>
      </w:pPr>
      <w:r w:rsidRPr="004A4B32">
        <w:rPr>
          <w:b/>
          <w:bCs/>
          <w:sz w:val="24"/>
          <w:szCs w:val="24"/>
        </w:rPr>
        <w:t>Ufficio Stampa</w:t>
      </w:r>
    </w:p>
    <w:p w:rsidR="004A4B32" w:rsidRDefault="00DD2CE0" w:rsidP="009E1D90">
      <w:pPr>
        <w:spacing w:before="120" w:after="40" w:line="240" w:lineRule="auto"/>
        <w:ind w:left="425"/>
        <w:jc w:val="both"/>
        <w:rPr>
          <w:b/>
          <w:bCs/>
          <w:sz w:val="24"/>
          <w:szCs w:val="24"/>
        </w:rPr>
      </w:pPr>
      <w:hyperlink r:id="rId12" w:history="1">
        <w:r w:rsidR="004A4B32" w:rsidRPr="00606202">
          <w:rPr>
            <w:rStyle w:val="Collegamentoipertestuale"/>
            <w:b/>
            <w:bCs/>
            <w:sz w:val="24"/>
            <w:szCs w:val="24"/>
          </w:rPr>
          <w:t>info@rur.it</w:t>
        </w:r>
      </w:hyperlink>
    </w:p>
    <w:p w:rsidR="004A4B32" w:rsidRPr="004A4B32" w:rsidRDefault="004A4B32" w:rsidP="009E1D90">
      <w:pPr>
        <w:spacing w:before="120" w:after="40" w:line="240" w:lineRule="auto"/>
        <w:ind w:left="425"/>
        <w:jc w:val="both"/>
        <w:rPr>
          <w:sz w:val="24"/>
          <w:szCs w:val="24"/>
          <w:u w:val="single"/>
        </w:rPr>
      </w:pPr>
      <w:r w:rsidRPr="004A4B32">
        <w:rPr>
          <w:sz w:val="24"/>
          <w:szCs w:val="24"/>
          <w:u w:val="single"/>
        </w:rPr>
        <w:t>+39 392 4432806</w:t>
      </w:r>
    </w:p>
    <w:p w:rsidR="00F86D50" w:rsidRPr="00F86D50" w:rsidRDefault="00F86D50" w:rsidP="00F86D50">
      <w:pPr>
        <w:jc w:val="both"/>
        <w:rPr>
          <w:sz w:val="24"/>
          <w:szCs w:val="24"/>
        </w:rPr>
      </w:pPr>
    </w:p>
    <w:sectPr w:rsidR="00F86D50" w:rsidRPr="00F86D50" w:rsidSect="00FC636E">
      <w:footerReference w:type="default" r:id="rId13"/>
      <w:pgSz w:w="11906" w:h="16838"/>
      <w:pgMar w:top="1417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E0" w:rsidRDefault="00DD2CE0" w:rsidP="009069A1">
      <w:pPr>
        <w:spacing w:after="0" w:line="240" w:lineRule="auto"/>
      </w:pPr>
      <w:r>
        <w:separator/>
      </w:r>
    </w:p>
  </w:endnote>
  <w:endnote w:type="continuationSeparator" w:id="0">
    <w:p w:rsidR="00DD2CE0" w:rsidRDefault="00DD2CE0" w:rsidP="0090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Geneva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2542"/>
      <w:docPartObj>
        <w:docPartGallery w:val="Page Numbers (Bottom of Page)"/>
        <w:docPartUnique/>
      </w:docPartObj>
    </w:sdtPr>
    <w:sdtEndPr/>
    <w:sdtContent>
      <w:p w:rsidR="003968AF" w:rsidRDefault="00DD2CE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0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69A1" w:rsidRPr="003968AF" w:rsidRDefault="009069A1" w:rsidP="003968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E0" w:rsidRDefault="00DD2CE0" w:rsidP="009069A1">
      <w:pPr>
        <w:spacing w:after="0" w:line="240" w:lineRule="auto"/>
      </w:pPr>
      <w:r>
        <w:separator/>
      </w:r>
    </w:p>
  </w:footnote>
  <w:footnote w:type="continuationSeparator" w:id="0">
    <w:p w:rsidR="00DD2CE0" w:rsidRDefault="00DD2CE0" w:rsidP="00906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2A3"/>
    <w:multiLevelType w:val="hybridMultilevel"/>
    <w:tmpl w:val="C4BA9274"/>
    <w:lvl w:ilvl="0" w:tplc="EBDC0F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F2182"/>
    <w:multiLevelType w:val="hybridMultilevel"/>
    <w:tmpl w:val="6974E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6E"/>
    <w:rsid w:val="000346B7"/>
    <w:rsid w:val="00062B50"/>
    <w:rsid w:val="00073B12"/>
    <w:rsid w:val="001B2AD6"/>
    <w:rsid w:val="001B708B"/>
    <w:rsid w:val="0020495B"/>
    <w:rsid w:val="0024151A"/>
    <w:rsid w:val="00241D4D"/>
    <w:rsid w:val="00255909"/>
    <w:rsid w:val="00293F95"/>
    <w:rsid w:val="002E17B5"/>
    <w:rsid w:val="002E31CB"/>
    <w:rsid w:val="00331F12"/>
    <w:rsid w:val="003968AF"/>
    <w:rsid w:val="004107D8"/>
    <w:rsid w:val="0044386F"/>
    <w:rsid w:val="0046215D"/>
    <w:rsid w:val="0047093C"/>
    <w:rsid w:val="004A4B32"/>
    <w:rsid w:val="005040F5"/>
    <w:rsid w:val="006266ED"/>
    <w:rsid w:val="00651FB9"/>
    <w:rsid w:val="00665B22"/>
    <w:rsid w:val="00686F6B"/>
    <w:rsid w:val="0087035A"/>
    <w:rsid w:val="0087660C"/>
    <w:rsid w:val="008E466A"/>
    <w:rsid w:val="008F51F2"/>
    <w:rsid w:val="009069A1"/>
    <w:rsid w:val="00945E1A"/>
    <w:rsid w:val="009E1D90"/>
    <w:rsid w:val="00A25378"/>
    <w:rsid w:val="00A37A3C"/>
    <w:rsid w:val="00B879A0"/>
    <w:rsid w:val="00BB334B"/>
    <w:rsid w:val="00C73856"/>
    <w:rsid w:val="00DD2CE0"/>
    <w:rsid w:val="00DD5B4A"/>
    <w:rsid w:val="00DF3D7A"/>
    <w:rsid w:val="00E13FEA"/>
    <w:rsid w:val="00E77EE1"/>
    <w:rsid w:val="00EC5534"/>
    <w:rsid w:val="00F440A0"/>
    <w:rsid w:val="00F753E0"/>
    <w:rsid w:val="00F86D50"/>
    <w:rsid w:val="00FC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5">
    <w:name w:val="List Table 4 Accent 5"/>
    <w:basedOn w:val="Tabellanormale"/>
    <w:uiPriority w:val="49"/>
    <w:rsid w:val="0046215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aragrafoelenco">
    <w:name w:val="List Paragraph"/>
    <w:basedOn w:val="Normale"/>
    <w:uiPriority w:val="34"/>
    <w:qFormat/>
    <w:rsid w:val="008703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51F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51F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06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9A1"/>
  </w:style>
  <w:style w:type="paragraph" w:styleId="Pidipagina">
    <w:name w:val="footer"/>
    <w:basedOn w:val="Normale"/>
    <w:link w:val="PidipaginaCarattere"/>
    <w:uiPriority w:val="99"/>
    <w:unhideWhenUsed/>
    <w:rsid w:val="00906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9A1"/>
  </w:style>
  <w:style w:type="table" w:customStyle="1" w:styleId="GridTable4Accent6">
    <w:name w:val="Grid Table 4 Accent 6"/>
    <w:basedOn w:val="Tabellanormale"/>
    <w:uiPriority w:val="49"/>
    <w:rsid w:val="00665B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5">
    <w:name w:val="List Table 4 Accent 5"/>
    <w:basedOn w:val="Tabellanormale"/>
    <w:uiPriority w:val="49"/>
    <w:rsid w:val="0046215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aragrafoelenco">
    <w:name w:val="List Paragraph"/>
    <w:basedOn w:val="Normale"/>
    <w:uiPriority w:val="34"/>
    <w:qFormat/>
    <w:rsid w:val="008703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51F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51F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06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9A1"/>
  </w:style>
  <w:style w:type="paragraph" w:styleId="Pidipagina">
    <w:name w:val="footer"/>
    <w:basedOn w:val="Normale"/>
    <w:link w:val="PidipaginaCarattere"/>
    <w:uiPriority w:val="99"/>
    <w:unhideWhenUsed/>
    <w:rsid w:val="00906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9A1"/>
  </w:style>
  <w:style w:type="table" w:customStyle="1" w:styleId="GridTable4Accent6">
    <w:name w:val="Grid Table 4 Accent 6"/>
    <w:basedOn w:val="Tabellanormale"/>
    <w:uiPriority w:val="49"/>
    <w:rsid w:val="00665B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ru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r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Val.%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Foglio1!$A$2:$A$6</c:f>
              <c:strCache>
                <c:ptCount val="5"/>
                <c:pt idx="0">
                  <c:v>ITALIA</c:v>
                </c:pt>
                <c:pt idx="1">
                  <c:v>UNIONE EUROPEA</c:v>
                </c:pt>
                <c:pt idx="2">
                  <c:v>Francia</c:v>
                </c:pt>
                <c:pt idx="3">
                  <c:v>Germania</c:v>
                </c:pt>
                <c:pt idx="4">
                  <c:v>Spagna</c:v>
                </c:pt>
              </c:strCache>
            </c:strRef>
          </c:cat>
          <c:val>
            <c:numRef>
              <c:f>Foglio1!$B$2:$B$6</c:f>
              <c:numCache>
                <c:formatCode>0.0</c:formatCode>
                <c:ptCount val="5"/>
                <c:pt idx="0">
                  <c:v>30.9</c:v>
                </c:pt>
                <c:pt idx="1">
                  <c:v>17.100000000000001</c:v>
                </c:pt>
                <c:pt idx="2">
                  <c:v>8.2000000000000011</c:v>
                </c:pt>
                <c:pt idx="3">
                  <c:v>7.6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C8-4DA4-AD75-402261C04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29568"/>
        <c:axId val="19631104"/>
      </c:barChart>
      <c:catAx>
        <c:axId val="1962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31104"/>
        <c:crosses val="autoZero"/>
        <c:auto val="1"/>
        <c:lblAlgn val="ctr"/>
        <c:lblOffset val="100"/>
        <c:noMultiLvlLbl val="0"/>
      </c:catAx>
      <c:valAx>
        <c:axId val="1963110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9629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Val.%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Foglio1!$A$2:$A$10</c:f>
              <c:strCache>
                <c:ptCount val="9"/>
                <c:pt idx="0">
                  <c:v>GENOVA</c:v>
                </c:pt>
                <c:pt idx="1">
                  <c:v>PALERMO</c:v>
                </c:pt>
                <c:pt idx="2">
                  <c:v>BOLOGNA</c:v>
                </c:pt>
                <c:pt idx="3">
                  <c:v>BARI</c:v>
                </c:pt>
                <c:pt idx="4">
                  <c:v>MILANO</c:v>
                </c:pt>
                <c:pt idx="5">
                  <c:v>NAPOLI</c:v>
                </c:pt>
                <c:pt idx="6">
                  <c:v>FIRENZE</c:v>
                </c:pt>
                <c:pt idx="7">
                  <c:v>TORINO</c:v>
                </c:pt>
                <c:pt idx="8">
                  <c:v>ROMA</c:v>
                </c:pt>
              </c:strCache>
            </c:strRef>
          </c:cat>
          <c:val>
            <c:numRef>
              <c:f>Foglio1!$B$2:$B$10</c:f>
              <c:numCache>
                <c:formatCode>0.0</c:formatCode>
                <c:ptCount val="9"/>
                <c:pt idx="0">
                  <c:v>32</c:v>
                </c:pt>
                <c:pt idx="1">
                  <c:v>32</c:v>
                </c:pt>
                <c:pt idx="2">
                  <c:v>32.5</c:v>
                </c:pt>
                <c:pt idx="3">
                  <c:v>34</c:v>
                </c:pt>
                <c:pt idx="4">
                  <c:v>37</c:v>
                </c:pt>
                <c:pt idx="5">
                  <c:v>38.700000000000003</c:v>
                </c:pt>
                <c:pt idx="6">
                  <c:v>38.800000000000011</c:v>
                </c:pt>
                <c:pt idx="7">
                  <c:v>40</c:v>
                </c:pt>
                <c:pt idx="8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D4-4BD5-95A5-0E6565EB8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30400"/>
        <c:axId val="19440384"/>
      </c:barChart>
      <c:catAx>
        <c:axId val="194304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9440384"/>
        <c:crosses val="autoZero"/>
        <c:auto val="1"/>
        <c:lblAlgn val="ctr"/>
        <c:lblOffset val="100"/>
        <c:noMultiLvlLbl val="0"/>
      </c:catAx>
      <c:valAx>
        <c:axId val="19440384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crossAx val="19430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Roma</dc:creator>
  <cp:lastModifiedBy>ester</cp:lastModifiedBy>
  <cp:revision>2</cp:revision>
  <cp:lastPrinted>2020-03-10T10:17:00Z</cp:lastPrinted>
  <dcterms:created xsi:type="dcterms:W3CDTF">2020-03-27T14:32:00Z</dcterms:created>
  <dcterms:modified xsi:type="dcterms:W3CDTF">2020-03-27T14:32:00Z</dcterms:modified>
</cp:coreProperties>
</file>